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86FC0" w:rsidRDefault="00767F1F" w:rsidP="009F68E8">
      <w:pPr>
        <w:spacing w:after="0" w:line="360" w:lineRule="auto"/>
        <w:ind w:right="260"/>
        <w:jc w:val="center"/>
        <w:rPr>
          <w:rFonts w:ascii="Times New Roman" w:hAnsi="Times New Roman"/>
          <w:b/>
          <w:sz w:val="28"/>
          <w:szCs w:val="28"/>
        </w:rPr>
      </w:pPr>
      <w:bookmarkStart w:id="0" w:name="_heading=h.6dey3qxq6ewx" w:colFirst="0" w:colLast="0"/>
      <w:bookmarkEnd w:id="0"/>
      <w:r>
        <w:rPr>
          <w:rFonts w:ascii="Times New Roman" w:hAnsi="Times New Roman"/>
          <w:b/>
          <w:sz w:val="28"/>
          <w:szCs w:val="28"/>
        </w:rPr>
        <w:t xml:space="preserve">РЕЦЕНЗІЯ </w:t>
      </w:r>
    </w:p>
    <w:p w14:paraId="00000002" w14:textId="7E0E0661" w:rsidR="00D86FC0" w:rsidRDefault="00767F1F" w:rsidP="009F68E8">
      <w:pPr>
        <w:spacing w:after="0" w:line="360" w:lineRule="auto"/>
        <w:ind w:left="720" w:right="260" w:firstLine="709"/>
        <w:jc w:val="center"/>
        <w:rPr>
          <w:rFonts w:ascii="Times New Roman" w:hAnsi="Times New Roman"/>
          <w:b/>
          <w:sz w:val="28"/>
          <w:szCs w:val="28"/>
        </w:rPr>
      </w:pPr>
      <w:bookmarkStart w:id="1" w:name="_heading=h.5jgc209khjba" w:colFirst="0" w:colLast="0"/>
      <w:bookmarkEnd w:id="1"/>
      <w:r>
        <w:rPr>
          <w:rFonts w:ascii="Times New Roman" w:hAnsi="Times New Roman"/>
          <w:b/>
          <w:sz w:val="28"/>
          <w:szCs w:val="28"/>
        </w:rPr>
        <w:t xml:space="preserve">Доктора юридичних наук </w:t>
      </w:r>
      <w:r w:rsidR="00905A58">
        <w:rPr>
          <w:rFonts w:ascii="Times New Roman" w:hAnsi="Times New Roman"/>
          <w:b/>
          <w:sz w:val="28"/>
          <w:szCs w:val="28"/>
        </w:rPr>
        <w:t>Тимченка Геннадія Петровича</w:t>
      </w:r>
      <w:r>
        <w:rPr>
          <w:rFonts w:ascii="Times New Roman" w:hAnsi="Times New Roman"/>
          <w:b/>
          <w:sz w:val="28"/>
          <w:szCs w:val="28"/>
        </w:rPr>
        <w:t xml:space="preserve"> на </w:t>
      </w:r>
      <w:bookmarkStart w:id="2" w:name="_Hlk230688712"/>
      <w:r>
        <w:rPr>
          <w:rFonts w:ascii="Times New Roman" w:hAnsi="Times New Roman"/>
          <w:b/>
          <w:sz w:val="28"/>
          <w:szCs w:val="28"/>
        </w:rPr>
        <w:t xml:space="preserve">дисертаційне дослідження </w:t>
      </w:r>
      <w:r w:rsidR="00905A58">
        <w:rPr>
          <w:rFonts w:ascii="Times New Roman" w:hAnsi="Times New Roman"/>
          <w:b/>
          <w:sz w:val="28"/>
          <w:szCs w:val="28"/>
        </w:rPr>
        <w:t>Богданової Валерії Володимирівни</w:t>
      </w:r>
      <w:r>
        <w:rPr>
          <w:rFonts w:ascii="Times New Roman" w:hAnsi="Times New Roman"/>
          <w:b/>
          <w:sz w:val="28"/>
          <w:szCs w:val="28"/>
        </w:rPr>
        <w:t xml:space="preserve"> </w:t>
      </w:r>
      <w:r w:rsidR="00905A58">
        <w:rPr>
          <w:rFonts w:ascii="Times New Roman" w:hAnsi="Times New Roman"/>
          <w:b/>
          <w:sz w:val="28"/>
          <w:szCs w:val="28"/>
        </w:rPr>
        <w:t>«Підстави звільнення від відповідальності за порушення договірних зобов’язань»</w:t>
      </w:r>
      <w:r>
        <w:rPr>
          <w:rFonts w:ascii="Times New Roman" w:hAnsi="Times New Roman"/>
          <w:b/>
          <w:sz w:val="28"/>
          <w:szCs w:val="28"/>
        </w:rPr>
        <w:t>, представлену на здобуття наукового ступеня доктора філософії за спеціальністю 081 Право</w:t>
      </w:r>
    </w:p>
    <w:p w14:paraId="00000003" w14:textId="77777777" w:rsidR="00D86FC0" w:rsidRDefault="00D86FC0" w:rsidP="009F68E8">
      <w:pPr>
        <w:spacing w:after="0" w:line="360" w:lineRule="auto"/>
        <w:ind w:left="720" w:right="260" w:firstLine="709"/>
        <w:jc w:val="both"/>
        <w:rPr>
          <w:rFonts w:ascii="Times New Roman" w:hAnsi="Times New Roman"/>
          <w:b/>
          <w:sz w:val="28"/>
          <w:szCs w:val="28"/>
        </w:rPr>
      </w:pPr>
      <w:bookmarkStart w:id="3" w:name="_heading=h.lfp8hd7blj9d" w:colFirst="0" w:colLast="0"/>
      <w:bookmarkEnd w:id="2"/>
      <w:bookmarkEnd w:id="3"/>
    </w:p>
    <w:p w14:paraId="0135FEFD" w14:textId="7B17B4AA" w:rsidR="00905A58" w:rsidRPr="00905A58" w:rsidRDefault="00767F1F" w:rsidP="009F68E8">
      <w:pPr>
        <w:spacing w:after="0" w:line="360" w:lineRule="auto"/>
        <w:ind w:left="720" w:right="260" w:firstLine="709"/>
        <w:jc w:val="both"/>
        <w:rPr>
          <w:rFonts w:ascii="Times New Roman" w:hAnsi="Times New Roman"/>
          <w:sz w:val="28"/>
          <w:szCs w:val="28"/>
        </w:rPr>
      </w:pPr>
      <w:bookmarkStart w:id="4" w:name="_heading=h.gjdgxs" w:colFirst="0" w:colLast="0"/>
      <w:bookmarkEnd w:id="4"/>
      <w:r>
        <w:rPr>
          <w:rFonts w:ascii="Times New Roman" w:hAnsi="Times New Roman"/>
          <w:b/>
          <w:sz w:val="28"/>
          <w:szCs w:val="28"/>
        </w:rPr>
        <w:t>Актуальність теми наукового дослідження.</w:t>
      </w:r>
      <w:r>
        <w:rPr>
          <w:rFonts w:ascii="Times New Roman" w:hAnsi="Times New Roman"/>
          <w:sz w:val="28"/>
          <w:szCs w:val="28"/>
        </w:rPr>
        <w:t xml:space="preserve"> П</w:t>
      </w:r>
      <w:r w:rsidR="00905A58" w:rsidRPr="00905A58">
        <w:rPr>
          <w:rFonts w:ascii="Times New Roman" w:hAnsi="Times New Roman"/>
          <w:sz w:val="28"/>
          <w:szCs w:val="28"/>
        </w:rPr>
        <w:t>роблематика підстав звільнення від відповідальності за порушення договірних зобов’язань, до якої звернулась Богданова Валерія Володимирівна є надзвичайно актуальною, зважаючи на наявність у національному законодавстві суттєвої прогалини щодо належного нормативного закріплення інституту звільнення від цивільно-правової відповідальності. Основна цінність висновків дисертації полягає у всебічному аналізі правових механізмів інституту звільнення від відповідальності, що включає розробку нових підходів до формування єдиних доктринальних критеріїв та практичних підходів щодо визначення й застосування підстав звільнення від договірної відповідальності, а також у пропозиціях щодо удосконалення чинного законодавства України. Інститут звільнення від відповідальності у випадку настання непереборних та невідворотних обставин слугує  ключовим правовим механізмом, що дозволяє уникнути покладання майнового тягаря на сторону, яка об’єктивно не мала можливості належно виконати свої договірні зобов’язання.</w:t>
      </w:r>
    </w:p>
    <w:p w14:paraId="0F83DC1F"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З огляду на зазначене слід повністю погодитись з думкою автора дисертації, що дослідження означеної категорії має не лише теоретичне, а й практичне значення, оскільки зумовлене потребами сучасного цивільного обороту, спрямоване на виявлення і констатацію недоліків і прогалин у цій царині.</w:t>
      </w:r>
    </w:p>
    <w:p w14:paraId="50A04B2F"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Викладені у дисертації пропозиції щодо удосконалення законодавства та рекомендації є обґрунтованими і можуть значно покращити вітчизняний інституту звільнення від відповідальності. Запровадження карантинних заходів на території України, а надалі введення воєнного стану у зв’язку зі збройною </w:t>
      </w:r>
      <w:r w:rsidRPr="00905A58">
        <w:rPr>
          <w:rFonts w:ascii="Times New Roman" w:hAnsi="Times New Roman"/>
          <w:sz w:val="28"/>
          <w:szCs w:val="28"/>
        </w:rPr>
        <w:lastRenderedPageBreak/>
        <w:t>агресією РФ створили потребу чіткої деталізації у законодавстві та на договірному рівні непереборних та непередбачуваних ситуацій, а також однозначного тлумачення підстав звільнення від відповідальності.</w:t>
      </w:r>
    </w:p>
    <w:p w14:paraId="307118B6"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 Законодавче закріплення чіткого визначення форс-мажорних обставин у Цивільному кодексі України, встановлення їх примірного переліку та порядку доказування, обов’язку письмового повідомлення контрагента про їх настання, а також впровадження концепції «розумних зусиль» і можливості альтернативного виконання зобов’язань є необхідним для усунення існуючої прогалини у правовому регулюванні. Наведені законодавчі впровадження мають забезпечити стабільність договірних відносин, правову визначеність та передбачуваність для сторін, формуючи чіткі правила щодо настання та підтвердження форс-мажорних обставин і створюючи надійний інструментарій для належного виконання та коректного врегулювання договірних зобов’язань. Зазначені вище аргументи зумовлюють доцільність ґрунтовного наукового переосмислення підстав звільнення від договірної відповідальності, які визначають межі застосування цивільно-правових санкцій до сторін договору.</w:t>
      </w:r>
    </w:p>
    <w:p w14:paraId="7DCDDCF9"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Відповідно до теми дисертаційної роботи автором чітко визначено об’єкт дослідження – «цивільні правовідносини, в межах яких застосовується інститут звільнення від договірної відповідальності», в межах якого сформульовано предмет, що відповідає тематиці роботи та викладено автором як: «підстави звільнення від договірної відповідальності».</w:t>
      </w:r>
    </w:p>
    <w:p w14:paraId="5DA33B02"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Враховуючи </w:t>
      </w:r>
      <w:proofErr w:type="spellStart"/>
      <w:r w:rsidRPr="00905A58">
        <w:rPr>
          <w:rFonts w:ascii="Times New Roman" w:hAnsi="Times New Roman"/>
          <w:sz w:val="28"/>
          <w:szCs w:val="28"/>
        </w:rPr>
        <w:t>багатоаспектність</w:t>
      </w:r>
      <w:proofErr w:type="spellEnd"/>
      <w:r w:rsidRPr="00905A58">
        <w:rPr>
          <w:rFonts w:ascii="Times New Roman" w:hAnsi="Times New Roman"/>
          <w:sz w:val="28"/>
          <w:szCs w:val="28"/>
        </w:rPr>
        <w:t xml:space="preserve"> предмету дослідження, дисертантом окреслено коло завдань дослідження, які закладено в основу подальшої структуризації роботи. Слід позитивно відзначити логічну послідовність поставлених автором завдань, що забезпечили повноту та цілісність наукового дослідження, а саме: </w:t>
      </w:r>
    </w:p>
    <w:p w14:paraId="5A1BB3FC"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розглянуто доктринальні підходи до визначення цивільно-правової відповідальності, окреслити ознаки вказаного правового інституту, встановити місце у системі цивільного права України;</w:t>
      </w:r>
    </w:p>
    <w:p w14:paraId="73D4B8D7"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виокремлено основні види цивільно-правової відповідальності, їх розбіжності та особливості;</w:t>
      </w:r>
    </w:p>
    <w:p w14:paraId="42C3F855"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lastRenderedPageBreak/>
        <w:t>досліджено зміст та функціональне призначення умов цивільно-правової відповідальності, виявити їх зв’язок, особливості та проблематику доказування;</w:t>
      </w:r>
    </w:p>
    <w:p w14:paraId="731AA1D4"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розкрито правову природу та концептуальне значення інституту звільнення від цивільно-правової відповідальності у сучасній доктрині;</w:t>
      </w:r>
    </w:p>
    <w:p w14:paraId="5FBF30C2"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розмежовано підстави звільнення від відповідальності із суміжними інститутами (форс-мажор, неможливість виконання, випадок, вина кредитора тощо);</w:t>
      </w:r>
    </w:p>
    <w:p w14:paraId="44BE6E4C"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досліджено особливості «форс-мажору» як ключової підстави звільнення від договірної відповідальності, встановлено законодавчі вимоги щодо підтвердження настання форс-мажорних обставин та їх вплив на виконання договірних зобов’язань, проаналізовано релевантну судову практику та виявлено типові помилки у їх застосуванні та проблематику доказування настання вказаних обставин, встановлено правове значення воєнного стану в Україні у контексті звільнення від відповідальності за порушення договірних зобов’язань;</w:t>
      </w:r>
    </w:p>
    <w:p w14:paraId="589A420F"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виявлено місце форс-мажорних обставин як підстави звільнення від юридичної відповідальності у публічно-правових відносинах; </w:t>
      </w:r>
    </w:p>
    <w:p w14:paraId="30E51B3B"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окреслено особливості інституту звільнення від відповідальності та регламентації форс-мажору в іноземній правозастосовній практиці;</w:t>
      </w:r>
    </w:p>
    <w:p w14:paraId="605281D8"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сформовано пропозиції внесення змін до Цивільного кодексу України щодо регулювання інституту звільнення від цивільної відповідальності;</w:t>
      </w:r>
    </w:p>
    <w:p w14:paraId="584C2C62"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сформульовано рекомендації щодо вдосконалення договірних механізмів у частині регламентації підстав звільнення від договірної відповідальності та практики їх застосування.</w:t>
      </w:r>
    </w:p>
    <w:p w14:paraId="7D4FA189"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Належне виконання вказаних завдань забезпечило досягнення мети дослідження - комплексне, всебічне дослідження теоретичних і практичних проблем інституту звільнення від договірної відповідальності, відмежування правових категорій «випадку», «обставин непереборної сили», «форс-мажор» (у тому числі в умовах воєнного стану) як підстав звільнення від договірної відповідальності, усунення колізій щодо ототожнення понять «обставини </w:t>
      </w:r>
      <w:r w:rsidRPr="00905A58">
        <w:rPr>
          <w:rFonts w:ascii="Times New Roman" w:hAnsi="Times New Roman"/>
          <w:sz w:val="28"/>
          <w:szCs w:val="28"/>
        </w:rPr>
        <w:lastRenderedPageBreak/>
        <w:t xml:space="preserve">непереборної сили» та «форс-мажор» для формулювання пропозицій щодо удосконалення договірних механізмів  у цій сфері. </w:t>
      </w:r>
    </w:p>
    <w:p w14:paraId="72F50139"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Належний ступінь обґрунтованості і достовірності наукових положень, висновків і рекомендацій дослідження Богданової В.В. ґрунтується на успішному використанні дисертантом методологічного інструментарію юридичної науки. Заслуговує на підтримку не лише визначена автором методологія дослідження, яка складається з широкого кола </w:t>
      </w:r>
      <w:proofErr w:type="spellStart"/>
      <w:r w:rsidRPr="00905A58">
        <w:rPr>
          <w:rFonts w:ascii="Times New Roman" w:hAnsi="Times New Roman"/>
          <w:sz w:val="28"/>
          <w:szCs w:val="28"/>
        </w:rPr>
        <w:t>філософсько</w:t>
      </w:r>
      <w:proofErr w:type="spellEnd"/>
      <w:r w:rsidRPr="00905A58">
        <w:rPr>
          <w:rFonts w:ascii="Times New Roman" w:hAnsi="Times New Roman"/>
          <w:sz w:val="28"/>
          <w:szCs w:val="28"/>
        </w:rPr>
        <w:t xml:space="preserve">-світоглядних, загальнонаукових та спеціальних методів і підходів наукового пізнання правових явищ та процесів, які в результаті допомогли повно та об’єктивно дослідити питання підстав звільнення від відповідальності за порушення договірних зобов’язань. </w:t>
      </w:r>
    </w:p>
    <w:p w14:paraId="3C3CDCAC"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Структура дисертації зумовлена метою та завданнями дослідження. Дисертація складається з вступу, трьох розділів, які структуровано у п’ятнадцять підрозділів, загальних висновків та списку використаних джерел.</w:t>
      </w:r>
    </w:p>
    <w:p w14:paraId="05EA7ACB"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Виходячи зі змісту дисертації, можна зазначити, що дисертантом опрацьовано широке коло дисертаційних і монографічних робіт із зазначеного питання як українських, так і іноземних правознавців; проаналізовано міжнародні документи, норми чинного законодавства України, релевантну вітчизняну та зарубіжну судову практику; використано матеріал енциклопедичних та навчальних джерел; опрацьовано широкий спектр матеріалів, які розміщені на ресурсах офіційних електронних видань. Все це дає можливість зробити висновок, що з теоретичної та практичної точок зору тема дисертаційного дослідження розроблена ґрунтовно. </w:t>
      </w:r>
    </w:p>
    <w:p w14:paraId="0F757C17"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Наукова новизна одержаних результатів (наукових положень, теоретичних узагальнень, висновків та пропозицій) випливає з актуальності теми дослідження. В цілому ж наукова новизна дисертаційної роботи полягає в тому, що у ній сформовано пропозиції внесення змін до Цивільного кодексу України щодо регулювання інституту звільнення від цивільної відповідальності, зокрема в частині закріплення чіткого нормативного визначення  «форс-мажор (обставини непереборної сили)», його узгодження з іншими нормативно-правовими актами; встановлення обов’язку для сторін </w:t>
      </w:r>
      <w:r w:rsidRPr="00905A58">
        <w:rPr>
          <w:rFonts w:ascii="Times New Roman" w:hAnsi="Times New Roman"/>
          <w:sz w:val="28"/>
          <w:szCs w:val="28"/>
        </w:rPr>
        <w:lastRenderedPageBreak/>
        <w:t>договірних відносин щодо повідомлення про настання обставин непереборної сили та строку такого повідомлення; обґрунтовано доцільність запровадження альтернативних способів виконання зобов’язання у разі настання форс-мажорних обставин, регламентації наслідків тривалого існування обставин непереборної сили шляхом закріплення у Цивільному кодексі України  низки запропонованих автором норм.</w:t>
      </w:r>
    </w:p>
    <w:p w14:paraId="292636A1"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Дисертація оперує авторським визначенням цивільно-правової відповідальності: «цивільно-правова відповідальність – це передбачений нормами цивільного права правовий тягар майнового характеру, який покладається на правопорушника у випадку порушення ним як договірних, так і позадоговірних цивільних обов’язків, має на меті компенсацію завданої шкоди, відновлення порушеного права, запобігання повторним порушенням, реалізація якого відбувається шляхом застосування заходів, визначених законом або договором». Внаслідок ґрунтовного аналізу релевантної судової практики, автором доведено, що введення воєнного стану в Україні автоматично не може слугувати самостійною підставою для звільнення сторін від відповідальності за невиконання чи неналежне виконання договірних зобов’язань, позаяк потребує доведення впливу обставин непереборної сили на можливість виконання конкретного зобов’язання.</w:t>
      </w:r>
    </w:p>
    <w:p w14:paraId="3A0A81C6"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Автором запропоновано власне визначення поняття «перешкоди» як стану неможливості реалізації зобов’язання, що виникає внаслідок обставин, незалежних від волі сторін та унеможливлює його виконання будь-яким способом. Крім того, здійснено класифікацію ступенів неможливості виконання зобов’язання, яка охоплює: абсолютну (остаточну) – коли виконання є остаточно неможливим; тимчасову – коли виконання ускладнене протягом певного періоду, але можливе після усунення перешкоди; об’єктивну – зумовлену зовнішніми обставинами, що не залежать від сторін; та суб’єктивну – пов’язану з індивідуальними властивостями сторони, яка не може виконати зобов’язання, але допускає виконання іншою особою. Запропоновано закріпити відповідну норму у Цивільному кодексі України.</w:t>
      </w:r>
    </w:p>
    <w:p w14:paraId="4021671D"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lastRenderedPageBreak/>
        <w:t xml:space="preserve">Вперше запропоновано </w:t>
      </w:r>
      <w:proofErr w:type="spellStart"/>
      <w:r w:rsidRPr="00905A58">
        <w:rPr>
          <w:rFonts w:ascii="Times New Roman" w:hAnsi="Times New Roman"/>
          <w:sz w:val="28"/>
          <w:szCs w:val="28"/>
        </w:rPr>
        <w:t>імплементувати</w:t>
      </w:r>
      <w:proofErr w:type="spellEnd"/>
      <w:r w:rsidRPr="00905A58">
        <w:rPr>
          <w:rFonts w:ascii="Times New Roman" w:hAnsi="Times New Roman"/>
          <w:sz w:val="28"/>
          <w:szCs w:val="28"/>
        </w:rPr>
        <w:t xml:space="preserve"> в українське законодавство зарубіжний досвід щодо концепції «розумних зусиль» як превентивного стандарту поведінки для сторін договірних відносин, який спрямований на збереження виконання зобов’язання  та альтернативного виконання зобов’язань як невід’ємних елементів правозастосування у сфері форс-мажорних обставин шляхом їхнього нормативного закріплення безпосередньо у форс-мажорних застереженнях договорів та через доповнення Цивільного кодексу України положеннями, сформульованими здобувачем.</w:t>
      </w:r>
    </w:p>
    <w:p w14:paraId="5C7DA9BC"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Проведене дослідження дозволило обґрунтувати і сформулювати ряд нових наукових положень та практичних рекомендацій, спрямованих на конкретні зміни до чинного законодавства та </w:t>
      </w:r>
      <w:proofErr w:type="spellStart"/>
      <w:r w:rsidRPr="00905A58">
        <w:rPr>
          <w:rFonts w:ascii="Times New Roman" w:hAnsi="Times New Roman"/>
          <w:sz w:val="28"/>
          <w:szCs w:val="28"/>
        </w:rPr>
        <w:t>правозастосовчої</w:t>
      </w:r>
      <w:proofErr w:type="spellEnd"/>
      <w:r w:rsidRPr="00905A58">
        <w:rPr>
          <w:rFonts w:ascii="Times New Roman" w:hAnsi="Times New Roman"/>
          <w:sz w:val="28"/>
          <w:szCs w:val="28"/>
        </w:rPr>
        <w:t xml:space="preserve"> практики в Україні, задля належної регламентації інституту звільнення від цивільно-правової відповідальності. </w:t>
      </w:r>
    </w:p>
    <w:p w14:paraId="5BE58835"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Положення наукової новизни отриманих результатів автором справедливо структуровано на ті, що отримані вперше, ті, що удосконалено, і ті, що дістали подальшого розвиту. Найбільш важливе значення з теоретичної та практичної точок зору мають положення наукової новизни, що стосуються:</w:t>
      </w:r>
    </w:p>
    <w:p w14:paraId="0FA73D36"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закріплення у Цивільному кодексі України запропонованих здобувачем норм, які регламентуватимуть інститут звільнення від цивільної відповідальності, зокрема в частині закріплення чіткого нормативного визначення «форс-мажор (обставини непереборної сили)», його узгодження з іншими нормативно-правовими актами; встановлення обов’язку для сторін договірних відносин щодо повідомлення про настання обставин непереборної сили та строку такого повідомлення; обґрунтовано доцільність запровадження альтернативних способів виконання зобов’язання у разі настання форс-мажорних обставин, регламентації наслідків тривалого існування обставин непереборної сили;</w:t>
      </w:r>
    </w:p>
    <w:p w14:paraId="1DE3FFEF"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порядку та обсягу доказування доведення впливу обставин непереборної сили на можливість виконання конкретного зобов’язання задля звільнення сторін від відповідальності за невиконання чи неналежне виконання договірних зобов’язань;</w:t>
      </w:r>
    </w:p>
    <w:p w14:paraId="4EDE39F5"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lastRenderedPageBreak/>
        <w:t>авторського визначення дефініції «перешкоди» як особливого стану неможливості реалізації зобов’язання, спричиненого обставинами, які не залежать від волі сторін і унеможливлюють його виконання будь-яким способом, а також запропонована здобувачем класифікація означеної категорії.</w:t>
      </w:r>
    </w:p>
    <w:p w14:paraId="3E624671"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імплементації в українське законодавство зарубіжного досвіду щодо концепції «розумних зусиль» як превентивного стандарту поведінки сторін договірних відносин, спрямованого на збереження виконання зобов’язань, а також альтернативного виконання як невід’ємних елементів правозастосування у сфері форс-мажорних обставин, має здійснюватися шляхом їх нормативного закріплення безпосередньо у форс-мажорних застереженнях договорів та доповнення Цивільного кодексу України відповідними положеннями;</w:t>
      </w:r>
    </w:p>
    <w:p w14:paraId="5B35401B"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доцільності для сторін договірних відносин регламентації наслідків настання обставин непереборної сили шляхом унормування та закріплення форс-мажорних застережень.</w:t>
      </w:r>
      <w:r w:rsidRPr="00905A58">
        <w:rPr>
          <w:rFonts w:ascii="Times New Roman" w:hAnsi="Times New Roman"/>
          <w:sz w:val="28"/>
          <w:szCs w:val="28"/>
        </w:rPr>
        <w:tab/>
      </w:r>
      <w:r w:rsidRPr="00905A58">
        <w:rPr>
          <w:rFonts w:ascii="Times New Roman" w:hAnsi="Times New Roman"/>
          <w:sz w:val="28"/>
          <w:szCs w:val="28"/>
        </w:rPr>
        <w:tab/>
      </w:r>
    </w:p>
    <w:p w14:paraId="24E92A98"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Зміст положень, що віднесені автором до положень наукової новизни одержаних результатів, свідчить про авторський підхід до вивчення проблематики категорії звільнення від відповідальності за порушення договірних зобов’язань.</w:t>
      </w:r>
    </w:p>
    <w:p w14:paraId="2013DA71"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Окремо слід зупинитись і на змісті дисертаційної роботи. Автором послідовно та обґрунтовано викладено зміст анотацій, у вступі дисертаційного дослідження обґрунтовується актуальність теми, визначаються об’єкт, предмет, мета і основні завдання дослідження, характеризується методологічна і науково-теоретична основа роботи, наукова новизна отриманих результатів, теоретичне і практичне значення результатів дослідження, виокремлюються положення щодо їх апробації тощо.</w:t>
      </w:r>
    </w:p>
    <w:p w14:paraId="34AFF6FF"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У розділі 1 «Цивільно-правова відповідальність» автором ґрунтовно проаналізовано цивільно-правову відповідальність як правове явище та з’ясовано ключові характеристики означеної категорії, досліджені концептуальні підходи щодо визначення вказаного поняття. Слід позитивно відзначити пропозицію автора щодо авторського бачення дефініції «цивільно-правової відповідальності».</w:t>
      </w:r>
    </w:p>
    <w:p w14:paraId="5DA35539"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lastRenderedPageBreak/>
        <w:t>Ґрунтовно досліджені умови настання цивільно-правової відповідальності, проаналізовано: наявність протиправної поведінки як передумови відповідальності; завдання шкоди майновим чи немайновим інтересам іншої сторони; причинний зв’язок між діянням та наслідками; а також вина у формі умислу чи необережності як визначальний елемент складу цивільного правопорушення.</w:t>
      </w:r>
    </w:p>
    <w:p w14:paraId="5E095B93"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Досліджено правові проблеми та проаналізовано  підходи, що існують у доктрині цивільного права щодо визначення умов настання цивільно-правової відповідальності. Визначено та класифіковано основні види цивільно-правової відповідальності, виокремлено основні характеристики, здійснено порівняльний аналіз договірної та позадоговірної відповідальності.</w:t>
      </w:r>
    </w:p>
    <w:p w14:paraId="280AF783"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 Розділ 2 «Звільнення від відповідальності за порушення договірних зобов’язань (національний аспект)» присвячено дослідженню загальних засад звільнення від цивільно-правової відповідальності, ґенезі, підстав та розвитку вказаного інституту. Цей розділ містить аналіз  категорії «випадку» у цивільному праві розглядається як самостійна підстава звільнення від відповідальності.</w:t>
      </w:r>
    </w:p>
    <w:p w14:paraId="47C61FA7"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Докладно проаналізовано обставини непереборної сили (форс‑мажор) у цивільному праві як виняткової підстави звільнення від відповідальності, та розкрито їх сутність, </w:t>
      </w:r>
      <w:proofErr w:type="spellStart"/>
      <w:r w:rsidRPr="00905A58">
        <w:rPr>
          <w:rFonts w:ascii="Times New Roman" w:hAnsi="Times New Roman"/>
          <w:sz w:val="28"/>
          <w:szCs w:val="28"/>
        </w:rPr>
        <w:t>співвіднесено</w:t>
      </w:r>
      <w:proofErr w:type="spellEnd"/>
      <w:r w:rsidRPr="00905A58">
        <w:rPr>
          <w:rFonts w:ascii="Times New Roman" w:hAnsi="Times New Roman"/>
          <w:sz w:val="28"/>
          <w:szCs w:val="28"/>
        </w:rPr>
        <w:t xml:space="preserve"> поняття «форс-мажор» та «обставини непереборної сили. На основі даного дослідження констатовано змістовну тотожність дефініцій «форс-мажор» і «обставини непереборної сили» подібність яких зумовлена особливістю перекладу з іноземної мови.   </w:t>
      </w:r>
    </w:p>
    <w:p w14:paraId="16B912F3" w14:textId="77777777" w:rsidR="00905A58" w:rsidRPr="00905A58" w:rsidRDefault="00905A58" w:rsidP="009F68E8">
      <w:pPr>
        <w:spacing w:after="0" w:line="360" w:lineRule="auto"/>
        <w:ind w:left="720" w:right="260" w:firstLine="709"/>
        <w:jc w:val="both"/>
        <w:rPr>
          <w:rFonts w:ascii="Times New Roman" w:hAnsi="Times New Roman"/>
          <w:sz w:val="28"/>
          <w:szCs w:val="28"/>
        </w:rPr>
      </w:pPr>
      <w:proofErr w:type="spellStart"/>
      <w:r w:rsidRPr="00905A58">
        <w:rPr>
          <w:rFonts w:ascii="Times New Roman" w:hAnsi="Times New Roman"/>
          <w:sz w:val="28"/>
          <w:szCs w:val="28"/>
        </w:rPr>
        <w:t>Співвіднесено</w:t>
      </w:r>
      <w:proofErr w:type="spellEnd"/>
      <w:r w:rsidRPr="00905A58">
        <w:rPr>
          <w:rFonts w:ascii="Times New Roman" w:hAnsi="Times New Roman"/>
          <w:sz w:val="28"/>
          <w:szCs w:val="28"/>
        </w:rPr>
        <w:t xml:space="preserve"> категорії «неможливість виконання зобов’язання» та «форс мажорні обставини», виокремлено їх ключові ознаки та встановлено, що їх слід розглядати у взаємозв’язку як категорії «причини та наслідку». Автор виснує про те, що форс-мажор є причиною, яка не залежить від волі сторін, а неможливість виконання зобов’язання, у свою чергу, наслідком, що визначає подальшу долю договірних правовідносин</w:t>
      </w:r>
    </w:p>
    <w:p w14:paraId="5518C07A"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Особливу увагу приділено узагальненню підходів вітчизняної судової практики щодо оцінки форс‑мажорних обставин, змістовно яка полягає у  </w:t>
      </w:r>
      <w:r w:rsidRPr="00905A58">
        <w:rPr>
          <w:rFonts w:ascii="Times New Roman" w:hAnsi="Times New Roman"/>
          <w:sz w:val="28"/>
          <w:szCs w:val="28"/>
        </w:rPr>
        <w:lastRenderedPageBreak/>
        <w:t>необхідності комплексного аналізу доказів, який охоплює умови конкретного договору, тривалість та характер впливу непереборної сили на можливість виконання зобов’язань. Здобувачем узагальнено також позицію касаційних судів, які наголошують, що введення воєнного стану не може автоматично звільняти від договірної відповідальності без доведення індивідуалізованого впливу таких обставин на виконання конкретних зобов’язань.</w:t>
      </w:r>
    </w:p>
    <w:p w14:paraId="319CFE1C"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У вказаному розділі автором проведено диференціацію між істотною зміною обставин та форс‑мажорними обставинами, чітко  окреслено функціональне співвідношення цих правових категорій у цивільному праві.</w:t>
      </w:r>
    </w:p>
    <w:p w14:paraId="6ECD4053"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Розділ 3 «Гармонізація законодавства України із зарубіжним законодавством» присвячено  дослідженню та оцінці зарубіжного досвіду правового регулювання звільнення від договірної відповідальності: підходи країн континентальної Європи (Франція, Німеччина, Італія) та аналізу європейського законодавства, </w:t>
      </w:r>
      <w:proofErr w:type="spellStart"/>
      <w:r w:rsidRPr="00905A58">
        <w:rPr>
          <w:rFonts w:ascii="Times New Roman" w:hAnsi="Times New Roman"/>
          <w:sz w:val="28"/>
          <w:szCs w:val="28"/>
        </w:rPr>
        <w:t>уніфікаційних</w:t>
      </w:r>
      <w:proofErr w:type="spellEnd"/>
      <w:r w:rsidRPr="00905A58">
        <w:rPr>
          <w:rFonts w:ascii="Times New Roman" w:hAnsi="Times New Roman"/>
          <w:sz w:val="28"/>
          <w:szCs w:val="28"/>
        </w:rPr>
        <w:t xml:space="preserve"> актів (Принципи УНІДРУА, PECL, DCFR). Значний акцент дослідження зроблена на аналізі судової практики, зокрема міжнародної. Досліджуються договірні застережень в країнах загального (англосаксонського) права як регулятора відносин сторін у кризових ситуаціях. </w:t>
      </w:r>
    </w:p>
    <w:p w14:paraId="5329AD48"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Автором встановлено, що до основних проблем правозастосування інституту звільнення від відповідальності за порушення договірних зобов’язань в Україні слід віднести: 1) недостатню деталізацію та нечіткість форс-мажорних застережень у договорах, що спричинило різне тлумачення контрагентами поняття «обставин непереборної сили», момент їх настання строки повідомлення та вимоги до доказів; 2) відсутність або розмитість процедур і строків повідомлення: не регламентовано сторонами обов'язок, форму чи строки повідомлення контрагента про настання форс-мажорних обставин; не описано наслідки несповіщення або сповіщення із затримкою: не передбачене позбавлення права посилання на форс-мажор через несвоєчасне повідомлення; відсутність порядку та переліку доказів: недостатня конкретизація механізмів продовження строку виконання, призупинення, розірвання чи альтернативного виконання у разі затяжної/безстрокової дії форс-мажору; 3) процедурні </w:t>
      </w:r>
      <w:r w:rsidRPr="00905A58">
        <w:rPr>
          <w:rFonts w:ascii="Times New Roman" w:hAnsi="Times New Roman"/>
          <w:sz w:val="28"/>
          <w:szCs w:val="28"/>
        </w:rPr>
        <w:lastRenderedPageBreak/>
        <w:t>дефекти: своєчасність повідомлення, підтвердження фактів повідомлення, фіксація фактів; 4) відсутність або нечіткість наслідків для сторін (відстрочка, розірвання та автоматичне припинення зобов’язань).</w:t>
      </w:r>
    </w:p>
    <w:p w14:paraId="00E98A30"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Заслуговує на увагу авторська спроба сформувати практичні рекомендації для вдосконалення договірної практики в Україні та рекомендації щодо гармонізації українського законодавства у сфері звільнення від договірної відповідальності із зарубіжними стандартами.</w:t>
      </w:r>
    </w:p>
    <w:p w14:paraId="1A66FD8D"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У висновках за результатами проведеного дослідження автором викладено найбільш важливі науково-теоретичні положення, які дійсно відображають зміст дисертаційного дослідження, результати використання різних методологічних прийомів дослідження, авторські ідеї, які засновані на дослідженому емпіричному матеріалі. </w:t>
      </w:r>
    </w:p>
    <w:p w14:paraId="7C19C0D8"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Теоретичне і практичне значення одержаних результатів дослідження полягає у тому, що викладені в дисертації положення, узагальнення та висновки можна використати у:  науково-дослідній сфері: для подальшого вивчення інституту звільнення від договірної відповідальності, його правової природи, та підстав для звільнення, формування пропозиції та способів гармонізації українського законодавства із міжнародними стандартами у цій царині; правотворчій діяльності: модернізації та удосконалення цивільного законодавства, усунення прогалин у регулюванні наслідків настання обставин непереборної сили, уточнення дефініцій «обставини непереборної сили» та «форс-мажор»; сфері правозастосування: для удосконалення судової практики з розгляду спорів, пов’язаних зі звільнення від відповідальності за порушення договірних зобов’язань; системі освіти та підготовки фахівців: при розробці та підготовці підручників, навчальних матеріалів, посібників, матеріалів лекцій дисципліни «Цивільне право України»; прикладній юридичній діяльності: результати дослідження можуть бути застосовані правниками при розробці та узгодженні договорів із контрагентами, (включення до них положень про порядок повідомлення про настання обставин непереборної сили, визначення їх правових наслідків та можливості зміни чи розірвання договору); використання при веденні судових спорів, пов’язаних із невиконанням чи </w:t>
      </w:r>
      <w:r w:rsidRPr="00905A58">
        <w:rPr>
          <w:rFonts w:ascii="Times New Roman" w:hAnsi="Times New Roman"/>
          <w:sz w:val="28"/>
          <w:szCs w:val="28"/>
        </w:rPr>
        <w:lastRenderedPageBreak/>
        <w:t>неналежним виконанням договірних зобов’язань унаслідок дії форс-мажорних обставин, для аргументації правової позиції сторін, оцінки доказів та прогнозування результатів судового розгляду.</w:t>
      </w:r>
    </w:p>
    <w:p w14:paraId="030813C6" w14:textId="77777777" w:rsidR="00905A58" w:rsidRPr="00905A58" w:rsidRDefault="00905A58" w:rsidP="009F68E8">
      <w:pPr>
        <w:spacing w:after="0" w:line="360" w:lineRule="auto"/>
        <w:ind w:left="720" w:right="260" w:firstLine="709"/>
        <w:jc w:val="both"/>
        <w:rPr>
          <w:rFonts w:ascii="Times New Roman" w:hAnsi="Times New Roman"/>
          <w:sz w:val="28"/>
          <w:szCs w:val="28"/>
        </w:rPr>
      </w:pPr>
    </w:p>
    <w:p w14:paraId="67EB4102"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Однак при підготовці дисертанта до захисту дисертації варто звернути увагу на деякі питання, відповіді на які зможуть посилити його наукову позицію.</w:t>
      </w:r>
    </w:p>
    <w:p w14:paraId="4729DEC4"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1.Насамперед дисертанту слід звернути увагу на співвідношення підстав звільнення від відповідальності із фундаментальним  принципом обов’язковості договору (</w:t>
      </w:r>
      <w:proofErr w:type="spellStart"/>
      <w:r w:rsidRPr="00905A58">
        <w:rPr>
          <w:rFonts w:ascii="Times New Roman" w:hAnsi="Times New Roman"/>
          <w:sz w:val="28"/>
          <w:szCs w:val="28"/>
        </w:rPr>
        <w:t>pacta</w:t>
      </w:r>
      <w:proofErr w:type="spellEnd"/>
      <w:r w:rsidRPr="00905A58">
        <w:rPr>
          <w:rFonts w:ascii="Times New Roman" w:hAnsi="Times New Roman"/>
          <w:sz w:val="28"/>
          <w:szCs w:val="28"/>
        </w:rPr>
        <w:t xml:space="preserve"> </w:t>
      </w:r>
      <w:proofErr w:type="spellStart"/>
      <w:r w:rsidRPr="00905A58">
        <w:rPr>
          <w:rFonts w:ascii="Times New Roman" w:hAnsi="Times New Roman"/>
          <w:sz w:val="28"/>
          <w:szCs w:val="28"/>
        </w:rPr>
        <w:t>sunt</w:t>
      </w:r>
      <w:proofErr w:type="spellEnd"/>
      <w:r w:rsidRPr="00905A58">
        <w:rPr>
          <w:rFonts w:ascii="Times New Roman" w:hAnsi="Times New Roman"/>
          <w:sz w:val="28"/>
          <w:szCs w:val="28"/>
        </w:rPr>
        <w:t xml:space="preserve"> </w:t>
      </w:r>
      <w:proofErr w:type="spellStart"/>
      <w:r w:rsidRPr="00905A58">
        <w:rPr>
          <w:rFonts w:ascii="Times New Roman" w:hAnsi="Times New Roman"/>
          <w:sz w:val="28"/>
          <w:szCs w:val="28"/>
        </w:rPr>
        <w:t>servanda</w:t>
      </w:r>
      <w:proofErr w:type="spellEnd"/>
      <w:r w:rsidRPr="00905A58">
        <w:rPr>
          <w:rFonts w:ascii="Times New Roman" w:hAnsi="Times New Roman"/>
          <w:sz w:val="28"/>
          <w:szCs w:val="28"/>
        </w:rPr>
        <w:t>), розкривши сутність означеної диференціації;</w:t>
      </w:r>
    </w:p>
    <w:p w14:paraId="2C53EB68"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2. Глибшого дослідження потребує зарубіжний досвід у частині градації неможливості виконання зобов’язань (абсолютна, тимчасова тощо), адже його аналіз дозволяє окреслити перспективи гармонізації українського законодавства та виробити узгоджені доктринальні підходи.</w:t>
      </w:r>
    </w:p>
    <w:p w14:paraId="2A7AC555"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3. Доцільно розглянути роль медіації та переговорів як інструментів адаптації договору у випадках настання обставин непереборної сили (форс-мажору). </w:t>
      </w:r>
    </w:p>
    <w:p w14:paraId="42F10B78"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Однак, попри зазначені зауваження, можливо констатувати, що в цілому вони не применшують позитивного значення дисертації. Підтвердженням обґрунтованості і достовірності наукових положень, висновків і рекомендацій дослідження є наукові публікації автора. Основні результати дисертаційного дослідження відображено у відповідних наукових публікаціях автора у фахових виданнях України, збірниках матеріалів науково-теоретичних та науково-практичних конференцій.</w:t>
      </w:r>
    </w:p>
    <w:p w14:paraId="3451E046"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Ці публікації за змістом відповідають темі дисертаційного дослідження, доводять повноту опублікування отриманих результатів та наявність їхньої достатньої кількості. Опубліковані праці автора присвячені різним аспектам досліджуваної проблеми і не дублюють одна одну. Дисертація має високий теоретичний рівень і практичне значення, а її зміст може бути покладено в основу майбутньої монографічної роботи дисертанта.</w:t>
      </w:r>
    </w:p>
    <w:p w14:paraId="4415A390"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lastRenderedPageBreak/>
        <w:t>Аналіз змісту дисертації дозволив встановити відсутність текстових запозичень без посилання на джерело (плагіату).</w:t>
      </w:r>
    </w:p>
    <w:p w14:paraId="0D30A5C1"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Вважаємо, що дисертаційне дослідження Богданової Валерії Володимирівни на тему: «Підстави звільнення від відповідальності за порушення договірних зобов’язань» відповідає спеціальності 081 Право та вимогам Постанови Кабінету Міністрів України «Про затвердження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від 12 січня 2022 р. № 44.</w:t>
      </w:r>
    </w:p>
    <w:p w14:paraId="1E5399CF" w14:textId="77777777" w:rsidR="00905A58" w:rsidRPr="00905A58" w:rsidRDefault="00905A58" w:rsidP="009F68E8">
      <w:pPr>
        <w:spacing w:after="0" w:line="360" w:lineRule="auto"/>
        <w:ind w:left="720" w:right="260" w:firstLine="709"/>
        <w:jc w:val="both"/>
        <w:rPr>
          <w:rFonts w:ascii="Times New Roman" w:hAnsi="Times New Roman"/>
          <w:sz w:val="28"/>
          <w:szCs w:val="28"/>
        </w:rPr>
      </w:pPr>
      <w:r w:rsidRPr="00905A58">
        <w:rPr>
          <w:rFonts w:ascii="Times New Roman" w:hAnsi="Times New Roman"/>
          <w:sz w:val="28"/>
          <w:szCs w:val="28"/>
        </w:rPr>
        <w:t xml:space="preserve">Дисертація Богданової Валерії Володимирівни на тему: «Підстави звільнення від відповідальності за порушення договірних зобов’язань» може бути рекомендована до захисту на здобуття </w:t>
      </w:r>
      <w:proofErr w:type="spellStart"/>
      <w:r w:rsidRPr="00905A58">
        <w:rPr>
          <w:rFonts w:ascii="Times New Roman" w:hAnsi="Times New Roman"/>
          <w:sz w:val="28"/>
          <w:szCs w:val="28"/>
        </w:rPr>
        <w:t>освітньо</w:t>
      </w:r>
      <w:proofErr w:type="spellEnd"/>
      <w:r w:rsidRPr="00905A58">
        <w:rPr>
          <w:rFonts w:ascii="Times New Roman" w:hAnsi="Times New Roman"/>
          <w:sz w:val="28"/>
          <w:szCs w:val="28"/>
        </w:rPr>
        <w:t>-наукового ступеня доктора філософії за спеціальністю 081 «Право».</w:t>
      </w:r>
    </w:p>
    <w:p w14:paraId="1ED1791F" w14:textId="77777777" w:rsidR="00905A58" w:rsidRDefault="00905A58" w:rsidP="009F68E8">
      <w:pPr>
        <w:spacing w:after="0" w:line="360" w:lineRule="auto"/>
        <w:ind w:left="720" w:right="260"/>
        <w:rPr>
          <w:rFonts w:ascii="Times New Roman" w:hAnsi="Times New Roman"/>
          <w:b/>
          <w:sz w:val="28"/>
          <w:szCs w:val="28"/>
        </w:rPr>
      </w:pPr>
    </w:p>
    <w:p w14:paraId="00000026" w14:textId="0BCBA6FA" w:rsidR="00D86FC0" w:rsidRPr="005B1D35" w:rsidRDefault="00767F1F" w:rsidP="005B1D35">
      <w:pPr>
        <w:pStyle w:val="af4"/>
        <w:ind w:firstLine="1418"/>
        <w:rPr>
          <w:rFonts w:ascii="Times New Roman" w:hAnsi="Times New Roman"/>
          <w:b/>
          <w:bCs/>
          <w:sz w:val="28"/>
          <w:szCs w:val="28"/>
        </w:rPr>
      </w:pPr>
      <w:bookmarkStart w:id="5" w:name="_Hlk230688809"/>
      <w:r w:rsidRPr="005B1D35">
        <w:rPr>
          <w:rFonts w:ascii="Times New Roman" w:hAnsi="Times New Roman"/>
          <w:b/>
          <w:bCs/>
          <w:sz w:val="28"/>
          <w:szCs w:val="28"/>
        </w:rPr>
        <w:t xml:space="preserve">Рецензент:  </w:t>
      </w:r>
    </w:p>
    <w:bookmarkEnd w:id="5"/>
    <w:p w14:paraId="00000027" w14:textId="132DA320" w:rsidR="00D86FC0" w:rsidRPr="005B1D35" w:rsidRDefault="005B1D35" w:rsidP="005B1D35">
      <w:pPr>
        <w:pStyle w:val="af4"/>
        <w:ind w:firstLine="1418"/>
        <w:rPr>
          <w:rFonts w:ascii="Times New Roman" w:hAnsi="Times New Roman"/>
          <w:b/>
          <w:bCs/>
          <w:sz w:val="28"/>
          <w:szCs w:val="28"/>
        </w:rPr>
      </w:pPr>
      <w:r>
        <w:rPr>
          <w:rFonts w:ascii="Times New Roman" w:hAnsi="Times New Roman"/>
          <w:b/>
          <w:bCs/>
          <w:sz w:val="28"/>
          <w:szCs w:val="28"/>
        </w:rPr>
        <w:t>Д</w:t>
      </w:r>
      <w:r w:rsidR="00767F1F" w:rsidRPr="005B1D35">
        <w:rPr>
          <w:rFonts w:ascii="Times New Roman" w:hAnsi="Times New Roman"/>
          <w:b/>
          <w:bCs/>
          <w:sz w:val="28"/>
          <w:szCs w:val="28"/>
        </w:rPr>
        <w:t xml:space="preserve">октор юридичних наук, </w:t>
      </w:r>
    </w:p>
    <w:p w14:paraId="30D11982" w14:textId="77777777" w:rsidR="009F68E8" w:rsidRPr="005B1D35" w:rsidRDefault="00905A58" w:rsidP="005B1D35">
      <w:pPr>
        <w:pStyle w:val="af4"/>
        <w:ind w:firstLine="1418"/>
        <w:rPr>
          <w:rFonts w:ascii="Times New Roman" w:hAnsi="Times New Roman"/>
          <w:b/>
          <w:bCs/>
          <w:sz w:val="28"/>
          <w:szCs w:val="28"/>
        </w:rPr>
      </w:pPr>
      <w:r w:rsidRPr="005B1D35">
        <w:rPr>
          <w:rFonts w:ascii="Times New Roman" w:hAnsi="Times New Roman"/>
          <w:b/>
          <w:bCs/>
          <w:sz w:val="28"/>
          <w:szCs w:val="28"/>
        </w:rPr>
        <w:t xml:space="preserve">провідний науковий співробітник </w:t>
      </w:r>
    </w:p>
    <w:p w14:paraId="58099648" w14:textId="30330845" w:rsidR="00905A58" w:rsidRPr="005B1D35" w:rsidRDefault="00905A58" w:rsidP="005B1D35">
      <w:pPr>
        <w:pStyle w:val="af4"/>
        <w:ind w:firstLine="1418"/>
        <w:rPr>
          <w:rFonts w:ascii="Times New Roman" w:hAnsi="Times New Roman"/>
          <w:b/>
          <w:bCs/>
          <w:sz w:val="28"/>
          <w:szCs w:val="28"/>
        </w:rPr>
      </w:pPr>
      <w:r w:rsidRPr="005B1D35">
        <w:rPr>
          <w:rFonts w:ascii="Times New Roman" w:hAnsi="Times New Roman"/>
          <w:b/>
          <w:bCs/>
          <w:sz w:val="28"/>
          <w:szCs w:val="28"/>
        </w:rPr>
        <w:t xml:space="preserve">Відділу цивільно-правових наук </w:t>
      </w:r>
    </w:p>
    <w:p w14:paraId="18AFB228" w14:textId="77777777" w:rsidR="009F68E8" w:rsidRPr="005B1D35" w:rsidRDefault="00767F1F" w:rsidP="005B1D35">
      <w:pPr>
        <w:pStyle w:val="af4"/>
        <w:ind w:firstLine="1418"/>
        <w:rPr>
          <w:rFonts w:ascii="Times New Roman" w:hAnsi="Times New Roman"/>
          <w:b/>
          <w:bCs/>
          <w:sz w:val="28"/>
          <w:szCs w:val="28"/>
        </w:rPr>
      </w:pPr>
      <w:r w:rsidRPr="005B1D35">
        <w:rPr>
          <w:rFonts w:ascii="Times New Roman" w:hAnsi="Times New Roman"/>
          <w:b/>
          <w:bCs/>
          <w:sz w:val="28"/>
          <w:szCs w:val="28"/>
        </w:rPr>
        <w:t xml:space="preserve">Інституту держави і права </w:t>
      </w:r>
    </w:p>
    <w:p w14:paraId="0000002D" w14:textId="3AD571DA" w:rsidR="00D86FC0" w:rsidRDefault="00767F1F" w:rsidP="005B1D35">
      <w:pPr>
        <w:pStyle w:val="af4"/>
        <w:ind w:firstLine="1418"/>
        <w:jc w:val="both"/>
        <w:rPr>
          <w:rFonts w:ascii="Times New Roman" w:hAnsi="Times New Roman"/>
          <w:b/>
          <w:sz w:val="28"/>
          <w:szCs w:val="28"/>
        </w:rPr>
      </w:pPr>
      <w:r w:rsidRPr="005B1D35">
        <w:rPr>
          <w:rFonts w:ascii="Times New Roman" w:hAnsi="Times New Roman"/>
          <w:b/>
          <w:bCs/>
          <w:sz w:val="28"/>
          <w:szCs w:val="28"/>
        </w:rPr>
        <w:t xml:space="preserve">імені В.М. Корецького НАН України </w:t>
      </w:r>
      <w:bookmarkStart w:id="6" w:name="_Hlk230688893"/>
      <w:r w:rsidR="005B1D35">
        <w:rPr>
          <w:rFonts w:ascii="Times New Roman" w:hAnsi="Times New Roman"/>
          <w:b/>
          <w:bCs/>
          <w:sz w:val="28"/>
          <w:szCs w:val="28"/>
        </w:rPr>
        <w:t xml:space="preserve"> </w:t>
      </w:r>
      <w:r>
        <w:rPr>
          <w:rFonts w:ascii="Times New Roman" w:hAnsi="Times New Roman"/>
          <w:b/>
          <w:sz w:val="28"/>
          <w:szCs w:val="28"/>
        </w:rPr>
        <w:t xml:space="preserve">  </w:t>
      </w:r>
      <w:r w:rsidR="005B1D35">
        <w:rPr>
          <w:rFonts w:ascii="Times New Roman" w:hAnsi="Times New Roman"/>
          <w:b/>
          <w:sz w:val="28"/>
          <w:szCs w:val="28"/>
        </w:rPr>
        <w:t xml:space="preserve">          </w:t>
      </w:r>
      <w:r>
        <w:rPr>
          <w:rFonts w:ascii="Times New Roman" w:hAnsi="Times New Roman"/>
          <w:b/>
          <w:sz w:val="28"/>
          <w:szCs w:val="28"/>
        </w:rPr>
        <w:t xml:space="preserve"> </w:t>
      </w:r>
      <w:r w:rsidR="005B1D35">
        <w:rPr>
          <w:rFonts w:ascii="Times New Roman" w:hAnsi="Times New Roman"/>
          <w:b/>
          <w:sz w:val="28"/>
          <w:szCs w:val="28"/>
        </w:rPr>
        <w:t xml:space="preserve">Г.П.  </w:t>
      </w:r>
      <w:r w:rsidR="005B1D35">
        <w:rPr>
          <w:rFonts w:ascii="Times New Roman" w:hAnsi="Times New Roman"/>
          <w:b/>
          <w:sz w:val="28"/>
          <w:szCs w:val="28"/>
        </w:rPr>
        <w:t xml:space="preserve">Тимченко </w:t>
      </w:r>
    </w:p>
    <w:bookmarkEnd w:id="6"/>
    <w:p w14:paraId="00000030" w14:textId="77777777" w:rsidR="00D86FC0" w:rsidRDefault="00D86FC0" w:rsidP="009F68E8">
      <w:pPr>
        <w:spacing w:line="360" w:lineRule="auto"/>
        <w:ind w:right="260"/>
      </w:pPr>
    </w:p>
    <w:sectPr w:rsidR="00D86FC0" w:rsidSect="00905A58">
      <w:headerReference w:type="default" r:id="rId8"/>
      <w:footerReference w:type="default" r:id="rId9"/>
      <w:pgSz w:w="11906" w:h="16838"/>
      <w:pgMar w:top="720" w:right="720" w:bottom="720" w:left="720"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4023A" w14:textId="77777777" w:rsidR="00D96314" w:rsidRDefault="00D96314" w:rsidP="00905A58">
      <w:pPr>
        <w:spacing w:after="0" w:line="240" w:lineRule="auto"/>
      </w:pPr>
      <w:r>
        <w:separator/>
      </w:r>
    </w:p>
  </w:endnote>
  <w:endnote w:type="continuationSeparator" w:id="0">
    <w:p w14:paraId="515627B9" w14:textId="77777777" w:rsidR="00D96314" w:rsidRDefault="00D96314" w:rsidP="00905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4344644"/>
      <w:docPartObj>
        <w:docPartGallery w:val="Page Numbers (Bottom of Page)"/>
        <w:docPartUnique/>
      </w:docPartObj>
    </w:sdtPr>
    <w:sdtContent>
      <w:p w14:paraId="01712183" w14:textId="0914E26C" w:rsidR="00905A58" w:rsidRDefault="00905A58">
        <w:pPr>
          <w:pStyle w:val="af2"/>
          <w:jc w:val="right"/>
        </w:pPr>
        <w:r>
          <w:fldChar w:fldCharType="begin"/>
        </w:r>
        <w:r>
          <w:instrText>PAGE   \* MERGEFORMAT</w:instrText>
        </w:r>
        <w:r>
          <w:fldChar w:fldCharType="separate"/>
        </w:r>
        <w:r>
          <w:t>2</w:t>
        </w:r>
        <w:r>
          <w:fldChar w:fldCharType="end"/>
        </w:r>
      </w:p>
    </w:sdtContent>
  </w:sdt>
  <w:p w14:paraId="25B52D4E" w14:textId="77777777" w:rsidR="00905A58" w:rsidRDefault="00905A5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61A79" w14:textId="77777777" w:rsidR="00D96314" w:rsidRDefault="00D96314" w:rsidP="00905A58">
      <w:pPr>
        <w:spacing w:after="0" w:line="240" w:lineRule="auto"/>
      </w:pPr>
      <w:r>
        <w:separator/>
      </w:r>
    </w:p>
  </w:footnote>
  <w:footnote w:type="continuationSeparator" w:id="0">
    <w:p w14:paraId="1BE51188" w14:textId="77777777" w:rsidR="00D96314" w:rsidRDefault="00D96314" w:rsidP="00905A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DA22" w14:textId="77777777" w:rsidR="009F68E8" w:rsidRDefault="009F68E8" w:rsidP="009F68E8">
    <w:pPr>
      <w:pStyle w:val="af0"/>
      <w:ind w:right="82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C91B59"/>
    <w:multiLevelType w:val="multilevel"/>
    <w:tmpl w:val="B81A63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70353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FC0"/>
    <w:rsid w:val="005B1D35"/>
    <w:rsid w:val="00767F1F"/>
    <w:rsid w:val="00905A58"/>
    <w:rsid w:val="009F68E8"/>
    <w:rsid w:val="00D86FC0"/>
    <w:rsid w:val="00D96314"/>
    <w:rsid w:val="00F43BE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08D4B"/>
  <w15:docId w15:val="{622C724D-6561-48E1-BDE6-E7F82A30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501C"/>
    <w:rPr>
      <w:rFonts w:eastAsia="Times New Roman" w:cs="Times New Roman"/>
    </w:rPr>
  </w:style>
  <w:style w:type="paragraph" w:styleId="1">
    <w:name w:val="heading 1"/>
    <w:basedOn w:val="a"/>
    <w:next w:val="a"/>
    <w:link w:val="10"/>
    <w:uiPriority w:val="9"/>
    <w:qFormat/>
    <w:rsid w:val="002F17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F17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F17AF"/>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2F17AF"/>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F17A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F17A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F17A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F17A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F17A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2F17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uiPriority w:val="9"/>
    <w:rsid w:val="002F17A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F17A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F17AF"/>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F17AF"/>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F17AF"/>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F17A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F17AF"/>
    <w:rPr>
      <w:rFonts w:eastAsiaTheme="majorEastAsia" w:cstheme="majorBidi"/>
      <w:color w:val="595959" w:themeColor="text1" w:themeTint="A6"/>
    </w:rPr>
  </w:style>
  <w:style w:type="character" w:customStyle="1" w:styleId="80">
    <w:name w:val="Заголовок 8 Знак"/>
    <w:basedOn w:val="a0"/>
    <w:link w:val="8"/>
    <w:uiPriority w:val="9"/>
    <w:semiHidden/>
    <w:rsid w:val="002F17A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F17AF"/>
    <w:rPr>
      <w:rFonts w:eastAsiaTheme="majorEastAsia" w:cstheme="majorBidi"/>
      <w:color w:val="272727" w:themeColor="text1" w:themeTint="D8"/>
    </w:rPr>
  </w:style>
  <w:style w:type="character" w:customStyle="1" w:styleId="a4">
    <w:name w:val="Назва Знак"/>
    <w:basedOn w:val="a0"/>
    <w:link w:val="a3"/>
    <w:uiPriority w:val="10"/>
    <w:rsid w:val="002F17A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Pr>
      <w:color w:val="595959"/>
      <w:sz w:val="28"/>
      <w:szCs w:val="28"/>
    </w:rPr>
  </w:style>
  <w:style w:type="character" w:customStyle="1" w:styleId="a6">
    <w:name w:val="Підзаголовок Знак"/>
    <w:basedOn w:val="a0"/>
    <w:link w:val="a5"/>
    <w:uiPriority w:val="11"/>
    <w:rsid w:val="002F17AF"/>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2F17AF"/>
    <w:pPr>
      <w:spacing w:before="160"/>
      <w:jc w:val="center"/>
    </w:pPr>
    <w:rPr>
      <w:i/>
      <w:iCs/>
      <w:color w:val="404040" w:themeColor="text1" w:themeTint="BF"/>
    </w:rPr>
  </w:style>
  <w:style w:type="character" w:customStyle="1" w:styleId="a8">
    <w:name w:val="Цитата Знак"/>
    <w:basedOn w:val="a0"/>
    <w:link w:val="a7"/>
    <w:uiPriority w:val="29"/>
    <w:rsid w:val="002F17AF"/>
    <w:rPr>
      <w:i/>
      <w:iCs/>
      <w:color w:val="404040" w:themeColor="text1" w:themeTint="BF"/>
    </w:rPr>
  </w:style>
  <w:style w:type="paragraph" w:styleId="a9">
    <w:name w:val="List Paragraph"/>
    <w:basedOn w:val="a"/>
    <w:uiPriority w:val="34"/>
    <w:qFormat/>
    <w:rsid w:val="002F17AF"/>
    <w:pPr>
      <w:ind w:left="720"/>
      <w:contextualSpacing/>
    </w:pPr>
  </w:style>
  <w:style w:type="character" w:styleId="aa">
    <w:name w:val="Intense Emphasis"/>
    <w:basedOn w:val="a0"/>
    <w:uiPriority w:val="21"/>
    <w:qFormat/>
    <w:rsid w:val="002F17AF"/>
    <w:rPr>
      <w:i/>
      <w:iCs/>
      <w:color w:val="0F4761" w:themeColor="accent1" w:themeShade="BF"/>
    </w:rPr>
  </w:style>
  <w:style w:type="paragraph" w:styleId="ab">
    <w:name w:val="Intense Quote"/>
    <w:basedOn w:val="a"/>
    <w:next w:val="a"/>
    <w:link w:val="ac"/>
    <w:uiPriority w:val="30"/>
    <w:qFormat/>
    <w:rsid w:val="002F17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2F17AF"/>
    <w:rPr>
      <w:i/>
      <w:iCs/>
      <w:color w:val="0F4761" w:themeColor="accent1" w:themeShade="BF"/>
    </w:rPr>
  </w:style>
  <w:style w:type="character" w:styleId="ad">
    <w:name w:val="Intense Reference"/>
    <w:basedOn w:val="a0"/>
    <w:uiPriority w:val="32"/>
    <w:qFormat/>
    <w:rsid w:val="002F17AF"/>
    <w:rPr>
      <w:b/>
      <w:bCs/>
      <w:smallCaps/>
      <w:color w:val="0F4761" w:themeColor="accent1" w:themeShade="BF"/>
      <w:spacing w:val="5"/>
    </w:rPr>
  </w:style>
  <w:style w:type="paragraph" w:styleId="ae">
    <w:name w:val="Body Text Indent"/>
    <w:basedOn w:val="a"/>
    <w:link w:val="af"/>
    <w:semiHidden/>
    <w:unhideWhenUsed/>
    <w:rsid w:val="002C501C"/>
    <w:pPr>
      <w:spacing w:after="0" w:line="240" w:lineRule="auto"/>
      <w:ind w:firstLine="720"/>
      <w:jc w:val="both"/>
    </w:pPr>
    <w:rPr>
      <w:rFonts w:ascii="Times New Roman" w:hAnsi="Times New Roman"/>
      <w:szCs w:val="20"/>
    </w:rPr>
  </w:style>
  <w:style w:type="character" w:customStyle="1" w:styleId="af">
    <w:name w:val="Основний текст з відступом Знак"/>
    <w:basedOn w:val="a0"/>
    <w:link w:val="ae"/>
    <w:semiHidden/>
    <w:rsid w:val="002C501C"/>
    <w:rPr>
      <w:rFonts w:ascii="Times New Roman" w:eastAsia="Times New Roman" w:hAnsi="Times New Roman" w:cs="Times New Roman"/>
      <w:kern w:val="0"/>
      <w:sz w:val="22"/>
      <w:szCs w:val="20"/>
      <w:lang w:val="uk-UA" w:eastAsia="uk-UA"/>
    </w:rPr>
  </w:style>
  <w:style w:type="paragraph" w:styleId="af0">
    <w:name w:val="header"/>
    <w:basedOn w:val="a"/>
    <w:link w:val="af1"/>
    <w:uiPriority w:val="99"/>
    <w:unhideWhenUsed/>
    <w:rsid w:val="00905A58"/>
    <w:pPr>
      <w:tabs>
        <w:tab w:val="center" w:pos="4819"/>
        <w:tab w:val="right" w:pos="9639"/>
      </w:tabs>
      <w:spacing w:after="0" w:line="240" w:lineRule="auto"/>
    </w:pPr>
  </w:style>
  <w:style w:type="character" w:customStyle="1" w:styleId="af1">
    <w:name w:val="Верхній колонтитул Знак"/>
    <w:basedOn w:val="a0"/>
    <w:link w:val="af0"/>
    <w:uiPriority w:val="99"/>
    <w:rsid w:val="00905A58"/>
    <w:rPr>
      <w:rFonts w:eastAsia="Times New Roman" w:cs="Times New Roman"/>
    </w:rPr>
  </w:style>
  <w:style w:type="paragraph" w:styleId="af2">
    <w:name w:val="footer"/>
    <w:basedOn w:val="a"/>
    <w:link w:val="af3"/>
    <w:uiPriority w:val="99"/>
    <w:unhideWhenUsed/>
    <w:rsid w:val="00905A58"/>
    <w:pPr>
      <w:tabs>
        <w:tab w:val="center" w:pos="4819"/>
        <w:tab w:val="right" w:pos="9639"/>
      </w:tabs>
      <w:spacing w:after="0" w:line="240" w:lineRule="auto"/>
    </w:pPr>
  </w:style>
  <w:style w:type="character" w:customStyle="1" w:styleId="af3">
    <w:name w:val="Нижній колонтитул Знак"/>
    <w:basedOn w:val="a0"/>
    <w:link w:val="af2"/>
    <w:uiPriority w:val="99"/>
    <w:rsid w:val="00905A58"/>
    <w:rPr>
      <w:rFonts w:eastAsia="Times New Roman" w:cs="Times New Roman"/>
    </w:rPr>
  </w:style>
  <w:style w:type="paragraph" w:styleId="af4">
    <w:name w:val="No Spacing"/>
    <w:uiPriority w:val="1"/>
    <w:qFormat/>
    <w:rsid w:val="005B1D35"/>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457066">
      <w:bodyDiv w:val="1"/>
      <w:marLeft w:val="0"/>
      <w:marRight w:val="0"/>
      <w:marTop w:val="0"/>
      <w:marBottom w:val="0"/>
      <w:divBdr>
        <w:top w:val="none" w:sz="0" w:space="0" w:color="auto"/>
        <w:left w:val="none" w:sz="0" w:space="0" w:color="auto"/>
        <w:bottom w:val="none" w:sz="0" w:space="0" w:color="auto"/>
        <w:right w:val="none" w:sz="0" w:space="0" w:color="auto"/>
      </w:divBdr>
      <w:divsChild>
        <w:div w:id="784809799">
          <w:marLeft w:val="0"/>
          <w:marRight w:val="0"/>
          <w:marTop w:val="0"/>
          <w:marBottom w:val="600"/>
          <w:divBdr>
            <w:top w:val="none" w:sz="0" w:space="0" w:color="auto"/>
            <w:left w:val="none" w:sz="0" w:space="0" w:color="auto"/>
            <w:bottom w:val="none" w:sz="0" w:space="0" w:color="auto"/>
            <w:right w:val="none" w:sz="0" w:space="0" w:color="auto"/>
          </w:divBdr>
          <w:divsChild>
            <w:div w:id="106328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cVHRSkq0mvypaL87vM4gfKjMtA==">CgMxLjAyDmguNmRleTNxeHE2ZXd4Mg5oLjVqZ2MyMDlraGpiYTIOaC5sZnA4aGQ3YmxqOWQyCGguZ2pkZ3hzOAByITFEdDFoLTZPRmpxdTJvZl9pQ2tqQ3V6Vzgta1JyZndnSw==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14817</Words>
  <Characters>8447</Characters>
  <Application>Microsoft Office Word</Application>
  <DocSecurity>0</DocSecurity>
  <Lines>70</Lines>
  <Paragraphs>46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Ponomarenko</dc:creator>
  <cp:lastModifiedBy>Marina Venetska</cp:lastModifiedBy>
  <cp:revision>3</cp:revision>
  <dcterms:created xsi:type="dcterms:W3CDTF">2024-07-01T08:25:00Z</dcterms:created>
  <dcterms:modified xsi:type="dcterms:W3CDTF">2026-08-19T09:20:00Z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fa9617b9e23b9d3c1a52835b59e7a06ef0229256e14e4ac73aad40646f45061f</vt:lpwstr>
  </property>
</Properties>
</file>